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41" w:rsidRPr="00990EC6" w:rsidRDefault="00035664" w:rsidP="00CB1B45">
      <w:pPr>
        <w:spacing w:after="0" w:line="240" w:lineRule="auto"/>
        <w:jc w:val="center"/>
        <w:rPr>
          <w:rFonts w:ascii="Arial" w:hAnsi="Arial" w:cs="Arial"/>
          <w:b/>
        </w:rPr>
      </w:pPr>
      <w:bookmarkStart w:id="0" w:name="_GoBack"/>
      <w:bookmarkEnd w:id="0"/>
      <w:r w:rsidRPr="00990EC6">
        <w:rPr>
          <w:rFonts w:ascii="Arial" w:hAnsi="Arial" w:cs="Arial"/>
          <w:b/>
        </w:rPr>
        <w:t>ORDINANCE 12</w:t>
      </w:r>
      <w:r w:rsidR="00755941" w:rsidRPr="00990EC6">
        <w:rPr>
          <w:rFonts w:ascii="Arial" w:hAnsi="Arial" w:cs="Arial"/>
          <w:b/>
        </w:rPr>
        <w:t>-2016</w:t>
      </w:r>
    </w:p>
    <w:p w:rsidR="00755941" w:rsidRPr="00990EC6" w:rsidRDefault="00755941" w:rsidP="00CB1B45">
      <w:pPr>
        <w:spacing w:after="0" w:line="240" w:lineRule="auto"/>
        <w:jc w:val="center"/>
        <w:rPr>
          <w:rFonts w:ascii="Arial" w:hAnsi="Arial" w:cs="Arial"/>
          <w:b/>
        </w:rPr>
      </w:pPr>
      <w:r w:rsidRPr="00990EC6">
        <w:rPr>
          <w:rFonts w:ascii="Arial" w:hAnsi="Arial" w:cs="Arial"/>
          <w:b/>
        </w:rPr>
        <w:t>OF THE GOVERNING BODY</w:t>
      </w:r>
    </w:p>
    <w:p w:rsidR="00755941" w:rsidRPr="00990EC6" w:rsidRDefault="00755941" w:rsidP="00CB1B45">
      <w:pPr>
        <w:spacing w:after="0" w:line="240" w:lineRule="auto"/>
        <w:jc w:val="center"/>
        <w:rPr>
          <w:rFonts w:ascii="Arial" w:hAnsi="Arial" w:cs="Arial"/>
          <w:b/>
        </w:rPr>
      </w:pPr>
      <w:r w:rsidRPr="00990EC6">
        <w:rPr>
          <w:rFonts w:ascii="Arial" w:hAnsi="Arial" w:cs="Arial"/>
          <w:b/>
        </w:rPr>
        <w:t>OF THE BOROUGH OF BLOOMINGALE</w:t>
      </w:r>
    </w:p>
    <w:p w:rsidR="00755941" w:rsidRPr="00990EC6" w:rsidRDefault="00755941" w:rsidP="00CB1B45">
      <w:pPr>
        <w:spacing w:after="0" w:line="240" w:lineRule="auto"/>
        <w:rPr>
          <w:rFonts w:ascii="Arial" w:hAnsi="Arial" w:cs="Arial"/>
          <w:b/>
        </w:rPr>
      </w:pPr>
    </w:p>
    <w:p w:rsidR="00755941" w:rsidRPr="00990EC6" w:rsidRDefault="00755941" w:rsidP="00CD1726">
      <w:pPr>
        <w:spacing w:after="0" w:line="240" w:lineRule="auto"/>
        <w:ind w:left="720" w:right="720"/>
        <w:jc w:val="center"/>
        <w:rPr>
          <w:rFonts w:ascii="Arial" w:hAnsi="Arial" w:cs="Arial"/>
          <w:b/>
          <w:caps/>
          <w:color w:val="000002"/>
        </w:rPr>
      </w:pPr>
      <w:r w:rsidRPr="00990EC6">
        <w:rPr>
          <w:rFonts w:ascii="Arial" w:hAnsi="Arial" w:cs="Arial"/>
          <w:b/>
          <w:caps/>
          <w:color w:val="000002"/>
        </w:rPr>
        <w:t xml:space="preserve">AN ORDINANCE OF THE BOROUGH OF BLOOMINGDALE, IN THE COUNTY OF PASSAIC AND STATE OF NEW JERSEY, amending Chapter </w:t>
      </w:r>
      <w:r w:rsidR="00035664" w:rsidRPr="00990EC6">
        <w:rPr>
          <w:rFonts w:ascii="Arial" w:hAnsi="Arial" w:cs="Arial"/>
          <w:b/>
          <w:caps/>
          <w:color w:val="000002"/>
        </w:rPr>
        <w:t>30</w:t>
      </w:r>
      <w:r w:rsidRPr="00990EC6">
        <w:rPr>
          <w:rFonts w:ascii="Arial" w:hAnsi="Arial" w:cs="Arial"/>
          <w:b/>
          <w:caps/>
          <w:color w:val="000002"/>
        </w:rPr>
        <w:t xml:space="preserve">, </w:t>
      </w:r>
      <w:r w:rsidR="00A840F6" w:rsidRPr="00990EC6">
        <w:rPr>
          <w:rFonts w:ascii="Arial" w:hAnsi="Arial" w:cs="Arial"/>
          <w:b/>
          <w:caps/>
          <w:color w:val="000002"/>
        </w:rPr>
        <w:t>“FLOOD HAZARD PROTECTION,”</w:t>
      </w:r>
      <w:r w:rsidR="00035664" w:rsidRPr="00990EC6">
        <w:rPr>
          <w:rFonts w:ascii="Arial" w:hAnsi="Arial" w:cs="Arial"/>
          <w:b/>
          <w:caps/>
          <w:color w:val="000002"/>
        </w:rPr>
        <w:t xml:space="preserve"> </w:t>
      </w:r>
      <w:r w:rsidR="00A840F6" w:rsidRPr="00990EC6">
        <w:rPr>
          <w:rFonts w:ascii="Arial" w:hAnsi="Arial" w:cs="Arial"/>
          <w:b/>
          <w:caps/>
          <w:color w:val="000002"/>
        </w:rPr>
        <w:t xml:space="preserve">Section 30-3, “General Provisions,” </w:t>
      </w:r>
      <w:r w:rsidR="00035664" w:rsidRPr="00990EC6">
        <w:rPr>
          <w:rFonts w:ascii="Arial" w:hAnsi="Arial" w:cs="Arial"/>
          <w:b/>
          <w:caps/>
          <w:color w:val="000002"/>
        </w:rPr>
        <w:t xml:space="preserve">SECTION 30-3.2, </w:t>
      </w:r>
      <w:r w:rsidR="00A840F6" w:rsidRPr="00990EC6">
        <w:rPr>
          <w:rFonts w:ascii="Arial" w:hAnsi="Arial" w:cs="Arial"/>
          <w:b/>
          <w:caps/>
          <w:color w:val="000002"/>
        </w:rPr>
        <w:t>“</w:t>
      </w:r>
      <w:r w:rsidR="00035664" w:rsidRPr="00990EC6">
        <w:rPr>
          <w:rFonts w:ascii="Arial" w:hAnsi="Arial" w:cs="Arial"/>
          <w:b/>
          <w:caps/>
          <w:color w:val="000002"/>
        </w:rPr>
        <w:t>bASIS FOR ESTABLISHIN</w:t>
      </w:r>
      <w:r w:rsidR="00A840F6" w:rsidRPr="00990EC6">
        <w:rPr>
          <w:rFonts w:ascii="Arial" w:hAnsi="Arial" w:cs="Arial"/>
          <w:b/>
          <w:caps/>
          <w:color w:val="000002"/>
        </w:rPr>
        <w:t>G</w:t>
      </w:r>
      <w:r w:rsidR="00035664" w:rsidRPr="00990EC6">
        <w:rPr>
          <w:rFonts w:ascii="Arial" w:hAnsi="Arial" w:cs="Arial"/>
          <w:b/>
          <w:caps/>
          <w:color w:val="000002"/>
        </w:rPr>
        <w:t xml:space="preserve"> THE AREAS OF SPECIAL FLOOD HAZARD</w:t>
      </w:r>
      <w:r w:rsidR="00A840F6" w:rsidRPr="00990EC6">
        <w:rPr>
          <w:rFonts w:ascii="Arial" w:hAnsi="Arial" w:cs="Arial"/>
          <w:b/>
          <w:caps/>
          <w:color w:val="000002"/>
        </w:rPr>
        <w:t>,”</w:t>
      </w:r>
      <w:r w:rsidRPr="00990EC6">
        <w:rPr>
          <w:rFonts w:ascii="Arial" w:hAnsi="Arial" w:cs="Arial"/>
          <w:b/>
          <w:caps/>
          <w:color w:val="000002"/>
        </w:rPr>
        <w:t xml:space="preserve"> of the code of the borough of bloomingdale </w:t>
      </w:r>
    </w:p>
    <w:p w:rsidR="00755941" w:rsidRPr="00990EC6" w:rsidRDefault="00755941" w:rsidP="00D008DB">
      <w:pPr>
        <w:spacing w:after="0" w:line="240" w:lineRule="auto"/>
        <w:jc w:val="both"/>
        <w:rPr>
          <w:rFonts w:ascii="Arial" w:hAnsi="Arial" w:cs="Arial"/>
        </w:rPr>
      </w:pPr>
    </w:p>
    <w:p w:rsidR="00755941" w:rsidRPr="00990EC6" w:rsidRDefault="00755941" w:rsidP="00CB15B1">
      <w:pPr>
        <w:spacing w:after="0" w:line="240" w:lineRule="auto"/>
        <w:ind w:firstLine="720"/>
        <w:jc w:val="both"/>
        <w:rPr>
          <w:rFonts w:ascii="Arial" w:hAnsi="Arial" w:cs="Arial"/>
        </w:rPr>
      </w:pPr>
      <w:r w:rsidRPr="00990EC6">
        <w:rPr>
          <w:rFonts w:ascii="Arial" w:hAnsi="Arial" w:cs="Arial"/>
          <w:b/>
        </w:rPr>
        <w:t>BE IT ORDAINED</w:t>
      </w:r>
      <w:r w:rsidRPr="00990EC6">
        <w:rPr>
          <w:rFonts w:ascii="Arial" w:hAnsi="Arial" w:cs="Arial"/>
        </w:rPr>
        <w:t>, by the Mayor and Borough Council of the Borough of Bloomingdale, in the County of Passaic and State of New Jersey, as follows:</w:t>
      </w:r>
    </w:p>
    <w:p w:rsidR="00755941" w:rsidRPr="00990EC6" w:rsidRDefault="00755941" w:rsidP="00814CE2">
      <w:pPr>
        <w:spacing w:after="0" w:line="240" w:lineRule="auto"/>
        <w:jc w:val="both"/>
        <w:rPr>
          <w:rFonts w:ascii="Arial" w:hAnsi="Arial" w:cs="Arial"/>
          <w:b/>
        </w:rPr>
      </w:pPr>
    </w:p>
    <w:p w:rsidR="00035664" w:rsidRPr="00990EC6" w:rsidRDefault="00A840F6" w:rsidP="00A840F6">
      <w:pPr>
        <w:spacing w:after="0" w:line="240" w:lineRule="auto"/>
        <w:ind w:firstLine="720"/>
        <w:jc w:val="both"/>
        <w:rPr>
          <w:rFonts w:ascii="Arial" w:hAnsi="Arial" w:cs="Arial"/>
        </w:rPr>
      </w:pPr>
      <w:r w:rsidRPr="00990EC6">
        <w:rPr>
          <w:rFonts w:ascii="Arial" w:hAnsi="Arial" w:cs="Arial"/>
          <w:b/>
        </w:rPr>
        <w:t xml:space="preserve">SECTION 1. </w:t>
      </w:r>
      <w:r w:rsidRPr="00990EC6">
        <w:rPr>
          <w:rFonts w:ascii="Arial" w:hAnsi="Arial" w:cs="Arial"/>
        </w:rPr>
        <w:t>Chapter 30, “Flood Hazard Protection,” Section 30-3, “General Provisions,” Section 30-3.2, “Basis for Establishing the Areas of Special Flood Hazard,”</w:t>
      </w:r>
      <w:r w:rsidR="00755941" w:rsidRPr="00990EC6">
        <w:rPr>
          <w:rFonts w:ascii="Arial" w:hAnsi="Arial" w:cs="Arial"/>
        </w:rPr>
        <w:t xml:space="preserve"> of the Code of the Borough of Bloomingdale is hereby amended to</w:t>
      </w:r>
      <w:r w:rsidR="00035664" w:rsidRPr="00990EC6">
        <w:rPr>
          <w:rFonts w:ascii="Arial" w:hAnsi="Arial" w:cs="Arial"/>
        </w:rPr>
        <w:t xml:space="preserve"> </w:t>
      </w:r>
      <w:r w:rsidR="00990EC6" w:rsidRPr="00990EC6">
        <w:rPr>
          <w:rFonts w:ascii="Arial" w:hAnsi="Arial" w:cs="Arial"/>
        </w:rPr>
        <w:t>read in its entirety as follows</w:t>
      </w:r>
      <w:r w:rsidR="00035664" w:rsidRPr="00990EC6">
        <w:rPr>
          <w:rFonts w:ascii="Arial" w:hAnsi="Arial" w:cs="Arial"/>
        </w:rPr>
        <w:t>:</w:t>
      </w:r>
    </w:p>
    <w:p w:rsidR="00035664" w:rsidRPr="00990EC6" w:rsidRDefault="00035664" w:rsidP="00990EC6">
      <w:pPr>
        <w:spacing w:after="0" w:line="240" w:lineRule="auto"/>
        <w:jc w:val="both"/>
        <w:rPr>
          <w:rFonts w:ascii="Arial" w:hAnsi="Arial" w:cs="Arial"/>
        </w:rPr>
      </w:pPr>
    </w:p>
    <w:p w:rsidR="00990EC6" w:rsidRPr="00990EC6" w:rsidRDefault="00990EC6" w:rsidP="00990EC6">
      <w:pPr>
        <w:spacing w:after="0" w:line="240" w:lineRule="auto"/>
        <w:jc w:val="both"/>
        <w:rPr>
          <w:rFonts w:ascii="Arial" w:hAnsi="Arial" w:cs="Arial"/>
          <w:b/>
          <w:u w:val="single"/>
        </w:rPr>
      </w:pPr>
      <w:r w:rsidRPr="00990EC6">
        <w:rPr>
          <w:rFonts w:ascii="Arial" w:hAnsi="Arial" w:cs="Arial"/>
          <w:b/>
          <w:u w:val="single"/>
        </w:rPr>
        <w:t>30-3.2    Basis for Establishing the Areas of Special Flood Hazard.</w:t>
      </w:r>
    </w:p>
    <w:p w:rsidR="00990EC6" w:rsidRDefault="00990EC6" w:rsidP="00990EC6">
      <w:pPr>
        <w:tabs>
          <w:tab w:val="left" w:pos="440"/>
          <w:tab w:val="left" w:pos="1440"/>
        </w:tabs>
        <w:spacing w:after="0" w:line="240" w:lineRule="auto"/>
        <w:jc w:val="both"/>
        <w:rPr>
          <w:rFonts w:ascii="Arial" w:eastAsia="Times New Roman" w:hAnsi="Arial" w:cs="Arial"/>
          <w:b/>
        </w:rPr>
      </w:pPr>
      <w:bookmarkStart w:id="1" w:name="_CPA9"/>
    </w:p>
    <w:p w:rsidR="00990EC6" w:rsidRDefault="00990EC6" w:rsidP="00990EC6">
      <w:pPr>
        <w:tabs>
          <w:tab w:val="left" w:pos="440"/>
          <w:tab w:val="left" w:pos="1440"/>
        </w:tabs>
        <w:spacing w:after="0" w:line="240" w:lineRule="auto"/>
        <w:jc w:val="both"/>
        <w:rPr>
          <w:rFonts w:ascii="Arial" w:eastAsia="Times New Roman" w:hAnsi="Arial" w:cs="Arial"/>
        </w:rPr>
      </w:pPr>
      <w:r w:rsidRPr="00990EC6">
        <w:rPr>
          <w:rFonts w:ascii="Arial" w:eastAsia="Times New Roman" w:hAnsi="Arial" w:cs="Arial"/>
          <w:b/>
        </w:rPr>
        <w:tab/>
      </w:r>
      <w:r w:rsidRPr="00990EC6">
        <w:rPr>
          <w:rFonts w:ascii="Arial" w:eastAsia="Times New Roman" w:hAnsi="Arial" w:cs="Arial"/>
        </w:rPr>
        <w:t>The areas of special flood hazard for the Borough of Bloomingdale, Community No. 345284, are identified and defined on the following documents prepared by the Federal Emergency Management Agency:</w:t>
      </w:r>
    </w:p>
    <w:p w:rsidR="00990EC6" w:rsidRPr="00990EC6" w:rsidRDefault="00990EC6" w:rsidP="00990EC6">
      <w:pPr>
        <w:tabs>
          <w:tab w:val="left" w:pos="440"/>
          <w:tab w:val="left" w:pos="1440"/>
        </w:tabs>
        <w:spacing w:after="0" w:line="240" w:lineRule="auto"/>
        <w:jc w:val="both"/>
        <w:rPr>
          <w:rFonts w:ascii="Arial" w:eastAsia="Times New Roman" w:hAnsi="Arial" w:cs="Arial"/>
        </w:rPr>
      </w:pPr>
    </w:p>
    <w:p w:rsidR="00990EC6" w:rsidRDefault="00990EC6" w:rsidP="00990EC6">
      <w:pPr>
        <w:tabs>
          <w:tab w:val="left" w:pos="440"/>
          <w:tab w:val="left" w:pos="900"/>
          <w:tab w:val="left" w:pos="1440"/>
          <w:tab w:val="left" w:pos="2160"/>
        </w:tabs>
        <w:spacing w:after="0" w:line="240" w:lineRule="auto"/>
        <w:jc w:val="both"/>
        <w:rPr>
          <w:rFonts w:ascii="Arial" w:eastAsia="Times New Roman" w:hAnsi="Arial" w:cs="Arial"/>
        </w:rPr>
      </w:pPr>
      <w:r w:rsidRPr="00990EC6">
        <w:rPr>
          <w:rFonts w:ascii="Arial" w:eastAsia="Times New Roman" w:hAnsi="Arial" w:cs="Arial"/>
        </w:rPr>
        <w:tab/>
        <w:t>a.</w:t>
      </w:r>
      <w:r w:rsidRPr="00990EC6">
        <w:rPr>
          <w:rFonts w:ascii="Arial" w:eastAsia="Times New Roman" w:hAnsi="Arial" w:cs="Arial"/>
        </w:rPr>
        <w:tab/>
        <w:t>A scientific and engineering report "Flood Insurance Study, Passaic County, New Jersey (All Jurisdictions)" dated September 28, 2007.</w:t>
      </w:r>
    </w:p>
    <w:p w:rsidR="00990EC6" w:rsidRPr="00990EC6" w:rsidRDefault="00990EC6" w:rsidP="00990EC6">
      <w:pPr>
        <w:tabs>
          <w:tab w:val="left" w:pos="440"/>
          <w:tab w:val="left" w:pos="900"/>
          <w:tab w:val="left" w:pos="1440"/>
          <w:tab w:val="left" w:pos="2160"/>
        </w:tabs>
        <w:spacing w:after="0" w:line="240" w:lineRule="auto"/>
        <w:jc w:val="both"/>
        <w:rPr>
          <w:rFonts w:ascii="Arial" w:eastAsia="Times New Roman" w:hAnsi="Arial" w:cs="Arial"/>
        </w:rPr>
      </w:pPr>
    </w:p>
    <w:p w:rsidR="00990EC6" w:rsidRDefault="00990EC6" w:rsidP="00990EC6">
      <w:pPr>
        <w:tabs>
          <w:tab w:val="left" w:pos="440"/>
          <w:tab w:val="left" w:pos="900"/>
          <w:tab w:val="left" w:pos="1440"/>
          <w:tab w:val="left" w:pos="2160"/>
        </w:tabs>
        <w:spacing w:after="0" w:line="240" w:lineRule="auto"/>
        <w:jc w:val="both"/>
        <w:rPr>
          <w:rFonts w:ascii="Arial" w:eastAsia="Times New Roman" w:hAnsi="Arial" w:cs="Arial"/>
        </w:rPr>
      </w:pPr>
      <w:r w:rsidRPr="00990EC6">
        <w:rPr>
          <w:rFonts w:ascii="Arial" w:eastAsia="Times New Roman" w:hAnsi="Arial" w:cs="Arial"/>
        </w:rPr>
        <w:tab/>
        <w:t xml:space="preserve">b. </w:t>
      </w:r>
      <w:r w:rsidRPr="00990EC6">
        <w:rPr>
          <w:rFonts w:ascii="Arial" w:eastAsia="Times New Roman" w:hAnsi="Arial" w:cs="Arial"/>
        </w:rPr>
        <w:tab/>
        <w:t>Flood Insurance Rate Map for Passaic County, New Jersey (All Jurisdictions) as shown on Index and panel numbers 0129, 0136, 0137, 0138, 0139, 0143, 0181; whose effective date is September 28, 2007.</w:t>
      </w:r>
    </w:p>
    <w:p w:rsidR="00990EC6" w:rsidRDefault="00990EC6" w:rsidP="00990EC6">
      <w:pPr>
        <w:tabs>
          <w:tab w:val="left" w:pos="440"/>
          <w:tab w:val="left" w:pos="900"/>
          <w:tab w:val="left" w:pos="1440"/>
          <w:tab w:val="left" w:pos="2160"/>
        </w:tabs>
        <w:spacing w:after="0" w:line="240" w:lineRule="auto"/>
        <w:jc w:val="both"/>
        <w:rPr>
          <w:rFonts w:ascii="Arial" w:eastAsia="Times New Roman" w:hAnsi="Arial" w:cs="Arial"/>
        </w:rPr>
      </w:pPr>
    </w:p>
    <w:p w:rsidR="00990EC6" w:rsidRPr="00990EC6" w:rsidRDefault="00990EC6" w:rsidP="00E51484">
      <w:pPr>
        <w:spacing w:after="0" w:line="240" w:lineRule="auto"/>
        <w:ind w:firstLine="450"/>
        <w:jc w:val="both"/>
        <w:rPr>
          <w:rFonts w:ascii="Arial" w:hAnsi="Arial" w:cs="Arial"/>
        </w:rPr>
      </w:pPr>
      <w:proofErr w:type="gramStart"/>
      <w:r w:rsidRPr="00990EC6">
        <w:rPr>
          <w:rFonts w:ascii="Arial" w:hAnsi="Arial" w:cs="Arial"/>
        </w:rPr>
        <w:t>c.  Letter</w:t>
      </w:r>
      <w:proofErr w:type="gramEnd"/>
      <w:r w:rsidRPr="00990EC6">
        <w:rPr>
          <w:rFonts w:ascii="Arial" w:hAnsi="Arial" w:cs="Arial"/>
        </w:rPr>
        <w:t xml:space="preserve"> of Map Revision, Case Number 16-02-0098P, issued April 5, 2016, effective August 23, 2016, revising panel number 0139.</w:t>
      </w:r>
    </w:p>
    <w:p w:rsidR="00990EC6" w:rsidRPr="00990EC6" w:rsidRDefault="00990EC6" w:rsidP="00990EC6">
      <w:pPr>
        <w:tabs>
          <w:tab w:val="left" w:pos="440"/>
          <w:tab w:val="left" w:pos="900"/>
          <w:tab w:val="left" w:pos="1440"/>
          <w:tab w:val="left" w:pos="2160"/>
        </w:tabs>
        <w:spacing w:after="0" w:line="240" w:lineRule="auto"/>
        <w:jc w:val="both"/>
        <w:rPr>
          <w:rFonts w:ascii="Arial" w:eastAsia="Times New Roman" w:hAnsi="Arial" w:cs="Arial"/>
        </w:rPr>
      </w:pPr>
    </w:p>
    <w:p w:rsidR="00990EC6" w:rsidRPr="00990EC6" w:rsidRDefault="00990EC6" w:rsidP="00990EC6">
      <w:pPr>
        <w:tabs>
          <w:tab w:val="left" w:pos="440"/>
          <w:tab w:val="left" w:pos="1440"/>
        </w:tabs>
        <w:spacing w:after="0" w:line="240" w:lineRule="auto"/>
        <w:jc w:val="both"/>
        <w:rPr>
          <w:rFonts w:ascii="Arial" w:eastAsia="Times New Roman" w:hAnsi="Arial" w:cs="Arial"/>
        </w:rPr>
      </w:pPr>
      <w:r w:rsidRPr="00990EC6">
        <w:rPr>
          <w:rFonts w:ascii="Arial" w:eastAsia="Times New Roman" w:hAnsi="Arial" w:cs="Arial"/>
        </w:rPr>
        <w:tab/>
        <w:t>The above documents are hereby adopted and declared to be a part of this chapter. The Flood Insurance Study and maps are on file at 101 Paterson-Hamburg Turnpike, Bloomingdale, New Jersey, 07403.</w:t>
      </w:r>
    </w:p>
    <w:bookmarkEnd w:id="1"/>
    <w:p w:rsidR="00755941" w:rsidRDefault="00755941" w:rsidP="00990EC6">
      <w:pPr>
        <w:spacing w:after="0" w:line="240" w:lineRule="auto"/>
        <w:jc w:val="both"/>
        <w:rPr>
          <w:rFonts w:ascii="Arial" w:hAnsi="Arial" w:cs="Arial"/>
        </w:rPr>
      </w:pPr>
    </w:p>
    <w:p w:rsidR="00990EC6" w:rsidRPr="00CB1B45" w:rsidRDefault="00990EC6" w:rsidP="00990EC6">
      <w:pPr>
        <w:spacing w:after="0" w:line="240" w:lineRule="auto"/>
        <w:ind w:firstLine="720"/>
        <w:jc w:val="both"/>
        <w:rPr>
          <w:rFonts w:ascii="Arial" w:hAnsi="Arial" w:cs="Arial"/>
        </w:rPr>
      </w:pPr>
      <w:r>
        <w:rPr>
          <w:rFonts w:ascii="Arial" w:hAnsi="Arial" w:cs="Arial"/>
          <w:b/>
        </w:rPr>
        <w:t xml:space="preserve">SECTION 2. </w:t>
      </w:r>
      <w:r w:rsidRPr="00CB1B45">
        <w:rPr>
          <w:rFonts w:ascii="Arial" w:hAnsi="Arial" w:cs="Arial"/>
        </w:rPr>
        <w:t>All ordinances or parts of ordinances of the Borough of Bloomingdale inconsistent herewith are repealed to the extent of such inconsistency.</w:t>
      </w:r>
    </w:p>
    <w:p w:rsidR="00990EC6" w:rsidRDefault="00990EC6" w:rsidP="00990EC6">
      <w:pPr>
        <w:spacing w:after="0" w:line="240" w:lineRule="auto"/>
        <w:jc w:val="both"/>
        <w:rPr>
          <w:rFonts w:ascii="Arial" w:hAnsi="Arial" w:cs="Arial"/>
        </w:rPr>
      </w:pPr>
    </w:p>
    <w:p w:rsidR="00990EC6" w:rsidRPr="00CB1B45" w:rsidRDefault="00990EC6" w:rsidP="00990EC6">
      <w:pPr>
        <w:spacing w:after="0" w:line="240" w:lineRule="auto"/>
        <w:ind w:firstLine="720"/>
        <w:jc w:val="both"/>
        <w:rPr>
          <w:rFonts w:ascii="Arial" w:hAnsi="Arial" w:cs="Arial"/>
        </w:rPr>
      </w:pPr>
      <w:r w:rsidRPr="00CB1B45">
        <w:rPr>
          <w:rFonts w:ascii="Arial" w:hAnsi="Arial" w:cs="Arial"/>
          <w:b/>
        </w:rPr>
        <w:t xml:space="preserve">SECTION </w:t>
      </w:r>
      <w:r>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90EC6" w:rsidRDefault="00990EC6" w:rsidP="00990EC6">
      <w:pPr>
        <w:spacing w:after="0" w:line="240" w:lineRule="auto"/>
        <w:ind w:firstLine="720"/>
        <w:jc w:val="both"/>
        <w:rPr>
          <w:rFonts w:ascii="Arial" w:hAnsi="Arial" w:cs="Arial"/>
        </w:rPr>
      </w:pPr>
    </w:p>
    <w:p w:rsidR="00990EC6" w:rsidRDefault="00990EC6" w:rsidP="00990EC6">
      <w:pPr>
        <w:spacing w:after="0" w:line="240" w:lineRule="auto"/>
        <w:ind w:firstLine="720"/>
        <w:jc w:val="both"/>
        <w:rPr>
          <w:rFonts w:ascii="Arial" w:hAnsi="Arial" w:cs="Arial"/>
        </w:rPr>
      </w:pPr>
      <w:r>
        <w:rPr>
          <w:rFonts w:ascii="Arial" w:hAnsi="Arial" w:cs="Arial"/>
          <w:b/>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990EC6" w:rsidRPr="00CB1B45" w:rsidRDefault="00990EC6" w:rsidP="00990EC6">
      <w:pPr>
        <w:spacing w:after="0" w:line="240" w:lineRule="auto"/>
        <w:ind w:firstLine="720"/>
        <w:jc w:val="both"/>
        <w:rPr>
          <w:rFonts w:ascii="Arial" w:hAnsi="Arial" w:cs="Arial"/>
        </w:rPr>
      </w:pPr>
    </w:p>
    <w:p w:rsidR="00990EC6" w:rsidRPr="00CB1B45" w:rsidRDefault="00990EC6" w:rsidP="00990EC6">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990EC6" w:rsidRPr="00CB1B45" w:rsidRDefault="00990EC6" w:rsidP="00990EC6">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990EC6" w:rsidRPr="00CB1B45" w:rsidRDefault="00990EC6" w:rsidP="00990EC6">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990EC6" w:rsidRPr="00CB1B45" w:rsidRDefault="00990EC6" w:rsidP="00990EC6">
      <w:pPr>
        <w:spacing w:after="0" w:line="240" w:lineRule="auto"/>
        <w:ind w:firstLine="720"/>
        <w:jc w:val="both"/>
        <w:rPr>
          <w:rFonts w:ascii="Arial" w:hAnsi="Arial" w:cs="Arial"/>
        </w:rPr>
      </w:pPr>
      <w:r w:rsidRPr="00CB1B45">
        <w:rPr>
          <w:rFonts w:ascii="Arial" w:hAnsi="Arial" w:cs="Arial"/>
        </w:rPr>
        <w:t xml:space="preserve"> </w:t>
      </w:r>
    </w:p>
    <w:p w:rsidR="00990EC6" w:rsidRPr="00CB1B45" w:rsidRDefault="00990EC6" w:rsidP="00990EC6">
      <w:pPr>
        <w:spacing w:after="0" w:line="240" w:lineRule="auto"/>
        <w:ind w:firstLine="720"/>
        <w:jc w:val="both"/>
        <w:rPr>
          <w:rFonts w:ascii="Arial" w:hAnsi="Arial" w:cs="Arial"/>
        </w:rPr>
      </w:pPr>
    </w:p>
    <w:p w:rsidR="00990EC6" w:rsidRPr="00CB1B45" w:rsidRDefault="00990EC6" w:rsidP="00990EC6">
      <w:pPr>
        <w:spacing w:after="0" w:line="240" w:lineRule="auto"/>
        <w:ind w:firstLine="720"/>
        <w:jc w:val="both"/>
        <w:rPr>
          <w:rFonts w:ascii="Arial" w:hAnsi="Arial" w:cs="Arial"/>
        </w:rPr>
      </w:pPr>
      <w:r w:rsidRPr="00CB1B45">
        <w:rPr>
          <w:rFonts w:ascii="Arial" w:hAnsi="Arial" w:cs="Arial"/>
        </w:rPr>
        <w:t xml:space="preserve"> </w:t>
      </w:r>
    </w:p>
    <w:p w:rsidR="00990EC6" w:rsidRDefault="00990EC6" w:rsidP="00990EC6">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990EC6" w:rsidRPr="00CB1B45" w:rsidRDefault="00990EC6" w:rsidP="00990EC6">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p w:rsidR="00990EC6" w:rsidRPr="00CB1B45" w:rsidRDefault="00990EC6" w:rsidP="00990EC6">
      <w:pPr>
        <w:spacing w:after="0" w:line="240" w:lineRule="auto"/>
        <w:jc w:val="both"/>
        <w:rPr>
          <w:rFonts w:ascii="Arial" w:hAnsi="Arial" w:cs="Arial"/>
        </w:rPr>
      </w:pPr>
    </w:p>
    <w:p w:rsidR="00755941" w:rsidRPr="00387A0B" w:rsidRDefault="00755941" w:rsidP="00FD1F95">
      <w:pPr>
        <w:tabs>
          <w:tab w:val="center" w:pos="4680"/>
        </w:tabs>
        <w:jc w:val="center"/>
        <w:rPr>
          <w:rFonts w:ascii="Times New Roman" w:hAnsi="Times New Roman"/>
          <w:b/>
          <w:i/>
          <w:sz w:val="24"/>
          <w:szCs w:val="24"/>
          <w:u w:val="single"/>
        </w:rPr>
      </w:pPr>
      <w:r w:rsidRPr="00387A0B">
        <w:rPr>
          <w:rFonts w:ascii="Times New Roman" w:hAnsi="Times New Roman"/>
          <w:b/>
          <w:bCs/>
          <w:i/>
          <w:sz w:val="24"/>
          <w:szCs w:val="24"/>
          <w:u w:val="single"/>
        </w:rPr>
        <w:t>NOTICE</w:t>
      </w:r>
    </w:p>
    <w:p w:rsidR="00755941" w:rsidRPr="00343566" w:rsidRDefault="00755941" w:rsidP="00FD1F95">
      <w:pPr>
        <w:rPr>
          <w:rFonts w:ascii="Times New Roman" w:hAnsi="Times New Roman"/>
          <w:sz w:val="24"/>
          <w:szCs w:val="24"/>
        </w:rPr>
      </w:pPr>
    </w:p>
    <w:p w:rsidR="00755941" w:rsidRPr="00343566" w:rsidRDefault="00755941" w:rsidP="00FD1F95">
      <w:pPr>
        <w:rPr>
          <w:rFonts w:ascii="Times New Roman" w:hAnsi="Times New Roman"/>
          <w:sz w:val="24"/>
          <w:szCs w:val="24"/>
        </w:rPr>
      </w:pPr>
      <w:r w:rsidRPr="00343566">
        <w:rPr>
          <w:rFonts w:ascii="Times New Roman" w:hAnsi="Times New Roman"/>
          <w:sz w:val="24"/>
          <w:szCs w:val="24"/>
        </w:rPr>
        <w:t xml:space="preserve">NOTICE IS HEREBY GIVEN, that the above Ordinance was </w:t>
      </w:r>
      <w:r w:rsidR="00035664">
        <w:rPr>
          <w:rFonts w:ascii="Times New Roman" w:hAnsi="Times New Roman"/>
          <w:sz w:val="24"/>
          <w:szCs w:val="24"/>
        </w:rPr>
        <w:t xml:space="preserve">introduced </w:t>
      </w:r>
      <w:r w:rsidRPr="00343566">
        <w:rPr>
          <w:rFonts w:ascii="Times New Roman" w:hAnsi="Times New Roman"/>
          <w:sz w:val="24"/>
          <w:szCs w:val="24"/>
        </w:rPr>
        <w:t xml:space="preserve">and passed on first reading at the </w:t>
      </w:r>
      <w:r>
        <w:rPr>
          <w:rFonts w:ascii="Times New Roman" w:hAnsi="Times New Roman"/>
          <w:sz w:val="24"/>
          <w:szCs w:val="24"/>
        </w:rPr>
        <w:t xml:space="preserve">Regular Business </w:t>
      </w:r>
      <w:r w:rsidRPr="00343566">
        <w:rPr>
          <w:rFonts w:ascii="Times New Roman" w:hAnsi="Times New Roman"/>
          <w:sz w:val="24"/>
          <w:szCs w:val="24"/>
        </w:rPr>
        <w:t xml:space="preserve">Meeting of the Governing Body of the Borough of Bloomingdale held in the Municipal Building on the </w:t>
      </w:r>
      <w:r w:rsidR="00035664">
        <w:rPr>
          <w:rFonts w:ascii="Times New Roman" w:hAnsi="Times New Roman"/>
          <w:sz w:val="24"/>
          <w:szCs w:val="24"/>
        </w:rPr>
        <w:t>3</w:t>
      </w:r>
      <w:r w:rsidR="00035664" w:rsidRPr="00035664">
        <w:rPr>
          <w:rFonts w:ascii="Times New Roman" w:hAnsi="Times New Roman"/>
          <w:sz w:val="24"/>
          <w:szCs w:val="24"/>
          <w:vertAlign w:val="superscript"/>
        </w:rPr>
        <w:t>rd</w:t>
      </w:r>
      <w:r w:rsidR="00035664">
        <w:rPr>
          <w:rFonts w:ascii="Times New Roman" w:hAnsi="Times New Roman"/>
          <w:sz w:val="24"/>
          <w:szCs w:val="24"/>
        </w:rPr>
        <w:t xml:space="preserve"> </w:t>
      </w:r>
      <w:r w:rsidRPr="00343566">
        <w:rPr>
          <w:rFonts w:ascii="Times New Roman" w:hAnsi="Times New Roman"/>
          <w:sz w:val="24"/>
          <w:szCs w:val="24"/>
        </w:rPr>
        <w:t xml:space="preserve">day of </w:t>
      </w:r>
      <w:r w:rsidR="00035664">
        <w:rPr>
          <w:rFonts w:ascii="Times New Roman" w:hAnsi="Times New Roman"/>
          <w:sz w:val="24"/>
          <w:szCs w:val="24"/>
        </w:rPr>
        <w:t>May</w:t>
      </w:r>
      <w:r>
        <w:rPr>
          <w:rFonts w:ascii="Times New Roman" w:hAnsi="Times New Roman"/>
          <w:sz w:val="24"/>
          <w:szCs w:val="24"/>
        </w:rPr>
        <w:t>, 2016</w:t>
      </w:r>
      <w:r w:rsidRPr="00343566">
        <w:rPr>
          <w:rFonts w:ascii="Times New Roman" w:hAnsi="Times New Roman"/>
          <w:sz w:val="24"/>
          <w:szCs w:val="24"/>
        </w:rPr>
        <w:t xml:space="preserve">, and the same shall come up for final passage at the Regular Business Meeting of the Governing Body to be held on the </w:t>
      </w:r>
      <w:r w:rsidR="00035664">
        <w:rPr>
          <w:rFonts w:ascii="Times New Roman" w:hAnsi="Times New Roman"/>
          <w:sz w:val="24"/>
          <w:szCs w:val="24"/>
        </w:rPr>
        <w:t>17</w:t>
      </w:r>
      <w:r>
        <w:rPr>
          <w:rFonts w:ascii="Times New Roman" w:hAnsi="Times New Roman"/>
          <w:sz w:val="24"/>
          <w:szCs w:val="24"/>
        </w:rPr>
        <w:t xml:space="preserve">th </w:t>
      </w:r>
      <w:r w:rsidRPr="00343566">
        <w:rPr>
          <w:rFonts w:ascii="Times New Roman" w:hAnsi="Times New Roman"/>
          <w:sz w:val="24"/>
          <w:szCs w:val="24"/>
        </w:rPr>
        <w:t xml:space="preserve">day of </w:t>
      </w:r>
      <w:r w:rsidR="00035664">
        <w:rPr>
          <w:rFonts w:ascii="Times New Roman" w:hAnsi="Times New Roman"/>
          <w:sz w:val="24"/>
          <w:szCs w:val="24"/>
        </w:rPr>
        <w:t>May</w:t>
      </w:r>
      <w:r>
        <w:rPr>
          <w:rFonts w:ascii="Times New Roman" w:hAnsi="Times New Roman"/>
          <w:sz w:val="24"/>
          <w:szCs w:val="24"/>
        </w:rPr>
        <w:t xml:space="preserve"> 2016, at 7:0</w:t>
      </w:r>
      <w:r w:rsidRPr="00343566">
        <w:rPr>
          <w:rFonts w:ascii="Times New Roman" w:hAnsi="Times New Roman"/>
          <w:sz w:val="24"/>
          <w:szCs w:val="24"/>
        </w:rPr>
        <w:t>0 P.M., at which time any persons interested shall be given the opportunity to be heard concerning said Ordinance</w:t>
      </w:r>
    </w:p>
    <w:p w:rsidR="00755941" w:rsidRPr="00343566" w:rsidRDefault="00755941" w:rsidP="00FD1F95">
      <w:pPr>
        <w:rPr>
          <w:rFonts w:ascii="Times New Roman" w:hAnsi="Times New Roman"/>
          <w:sz w:val="24"/>
          <w:szCs w:val="24"/>
        </w:rPr>
      </w:pPr>
    </w:p>
    <w:p w:rsidR="00755941" w:rsidRDefault="00755941" w:rsidP="00FD1F95">
      <w:pPr>
        <w:ind w:left="5040"/>
        <w:rPr>
          <w:rFonts w:ascii="Times New Roman" w:hAnsi="Times New Roman"/>
          <w:sz w:val="24"/>
          <w:szCs w:val="24"/>
        </w:rPr>
      </w:pPr>
      <w:r w:rsidRPr="00343566">
        <w:rPr>
          <w:rFonts w:ascii="Times New Roman" w:hAnsi="Times New Roman"/>
          <w:sz w:val="24"/>
          <w:szCs w:val="24"/>
        </w:rPr>
        <w:t>______________________________</w:t>
      </w:r>
    </w:p>
    <w:p w:rsidR="00755941" w:rsidRPr="00343566" w:rsidRDefault="00755941" w:rsidP="00FD1F95">
      <w:pPr>
        <w:ind w:left="5040"/>
        <w:rPr>
          <w:rFonts w:ascii="Times New Roman" w:hAnsi="Times New Roman"/>
          <w:b/>
          <w:bCs/>
          <w:color w:val="000000"/>
          <w:sz w:val="24"/>
          <w:szCs w:val="24"/>
        </w:rPr>
      </w:pPr>
      <w:r w:rsidRPr="00343566">
        <w:rPr>
          <w:rFonts w:ascii="Times New Roman" w:hAnsi="Times New Roman"/>
          <w:sz w:val="24"/>
          <w:szCs w:val="24"/>
        </w:rPr>
        <w:t>Jane McCarthy, Municipal Clerk</w:t>
      </w:r>
    </w:p>
    <w:p w:rsidR="00755941" w:rsidRPr="00343566" w:rsidRDefault="00755941" w:rsidP="00FD1F95">
      <w:pPr>
        <w:spacing w:line="480" w:lineRule="auto"/>
        <w:rPr>
          <w:rFonts w:ascii="Times New Roman" w:hAnsi="Times New Roman"/>
          <w:sz w:val="24"/>
          <w:szCs w:val="24"/>
        </w:rPr>
      </w:pPr>
    </w:p>
    <w:p w:rsidR="00755941" w:rsidRPr="00343566" w:rsidRDefault="00755941" w:rsidP="00FD1F95">
      <w:pPr>
        <w:rPr>
          <w:rFonts w:ascii="Times New Roman" w:hAnsi="Times New Roman"/>
          <w:sz w:val="24"/>
          <w:szCs w:val="24"/>
        </w:rPr>
      </w:pPr>
    </w:p>
    <w:p w:rsidR="00755941" w:rsidRPr="00CB1B45" w:rsidRDefault="00755941" w:rsidP="00D07DD4">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755941"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3AE5"/>
    <w:multiLevelType w:val="hybridMultilevel"/>
    <w:tmpl w:val="224AE280"/>
    <w:lvl w:ilvl="0" w:tplc="9566012A">
      <w:start w:val="1"/>
      <w:numFmt w:val="decimal"/>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1" w15:restartNumberingAfterBreak="0">
    <w:nsid w:val="366E5A3B"/>
    <w:multiLevelType w:val="hybridMultilevel"/>
    <w:tmpl w:val="AF4EF83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EB9193C"/>
    <w:multiLevelType w:val="hybridMultilevel"/>
    <w:tmpl w:val="9FEE0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7B4339F"/>
    <w:multiLevelType w:val="hybridMultilevel"/>
    <w:tmpl w:val="839C88D0"/>
    <w:lvl w:ilvl="0" w:tplc="CD26E630">
      <w:numFmt w:val="decimal"/>
      <w:lvlText w:val="%1"/>
      <w:lvlJc w:val="left"/>
      <w:pPr>
        <w:ind w:left="5670" w:hanging="279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35664"/>
    <w:rsid w:val="000411E2"/>
    <w:rsid w:val="000A3C5B"/>
    <w:rsid w:val="000B5DFB"/>
    <w:rsid w:val="000E2CAE"/>
    <w:rsid w:val="001E02DF"/>
    <w:rsid w:val="002077F3"/>
    <w:rsid w:val="002264FC"/>
    <w:rsid w:val="00234D51"/>
    <w:rsid w:val="00245F99"/>
    <w:rsid w:val="00293228"/>
    <w:rsid w:val="002C7FBA"/>
    <w:rsid w:val="00302620"/>
    <w:rsid w:val="003365DE"/>
    <w:rsid w:val="00336E30"/>
    <w:rsid w:val="00343566"/>
    <w:rsid w:val="00382D38"/>
    <w:rsid w:val="00387A0B"/>
    <w:rsid w:val="003E102F"/>
    <w:rsid w:val="003E5CAF"/>
    <w:rsid w:val="003E7C57"/>
    <w:rsid w:val="0044553C"/>
    <w:rsid w:val="00450532"/>
    <w:rsid w:val="004B1C9F"/>
    <w:rsid w:val="004E2613"/>
    <w:rsid w:val="006077A3"/>
    <w:rsid w:val="006B1413"/>
    <w:rsid w:val="0070084D"/>
    <w:rsid w:val="00727EBD"/>
    <w:rsid w:val="00755941"/>
    <w:rsid w:val="007B32B4"/>
    <w:rsid w:val="007C31C1"/>
    <w:rsid w:val="00814CE2"/>
    <w:rsid w:val="00874061"/>
    <w:rsid w:val="00895CA5"/>
    <w:rsid w:val="008A08BC"/>
    <w:rsid w:val="008F1BAD"/>
    <w:rsid w:val="00926749"/>
    <w:rsid w:val="0095690B"/>
    <w:rsid w:val="009728B9"/>
    <w:rsid w:val="00987F89"/>
    <w:rsid w:val="00990EC6"/>
    <w:rsid w:val="009B350F"/>
    <w:rsid w:val="00A35D8E"/>
    <w:rsid w:val="00A75557"/>
    <w:rsid w:val="00A840F6"/>
    <w:rsid w:val="00A84BBF"/>
    <w:rsid w:val="00A86FE0"/>
    <w:rsid w:val="00AA4480"/>
    <w:rsid w:val="00B1161F"/>
    <w:rsid w:val="00B37841"/>
    <w:rsid w:val="00BE064F"/>
    <w:rsid w:val="00C5440A"/>
    <w:rsid w:val="00C60521"/>
    <w:rsid w:val="00C67A72"/>
    <w:rsid w:val="00CB15B1"/>
    <w:rsid w:val="00CB1B45"/>
    <w:rsid w:val="00CD0C2E"/>
    <w:rsid w:val="00CD1726"/>
    <w:rsid w:val="00CE088D"/>
    <w:rsid w:val="00CF7DC8"/>
    <w:rsid w:val="00D008DB"/>
    <w:rsid w:val="00D07DD4"/>
    <w:rsid w:val="00D21F07"/>
    <w:rsid w:val="00E168B1"/>
    <w:rsid w:val="00E332AC"/>
    <w:rsid w:val="00E51484"/>
    <w:rsid w:val="00F50852"/>
    <w:rsid w:val="00F5137B"/>
    <w:rsid w:val="00F90814"/>
    <w:rsid w:val="00FA34B5"/>
    <w:rsid w:val="00FD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023EDB-7A0B-4F0B-BD26-0E12B5C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AC"/>
    <w:pPr>
      <w:spacing w:after="200" w:line="276" w:lineRule="auto"/>
    </w:p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Times New Roman"/>
      <w:b/>
      <w:bCs/>
      <w:i/>
      <w:iCs/>
      <w:color w:val="4F81BD"/>
    </w:rPr>
  </w:style>
  <w:style w:type="character" w:styleId="CommentReference">
    <w:name w:val="annotation reference"/>
    <w:basedOn w:val="DefaultParagraphFont"/>
    <w:uiPriority w:val="99"/>
    <w:semiHidden/>
    <w:rsid w:val="004E2613"/>
    <w:rPr>
      <w:rFonts w:cs="Times New Roman"/>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rFonts w:cs="Times New Roman"/>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rFonts w:cs="Times New Roman"/>
      <w:b/>
      <w:bCs/>
      <w:sz w:val="20"/>
      <w:szCs w:val="20"/>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sz w:val="24"/>
      <w:szCs w:val="24"/>
    </w:rPr>
  </w:style>
  <w:style w:type="paragraph" w:customStyle="1" w:styleId="CaledoniaIndent1">
    <w:name w:val="Caledonia Indent 1."/>
    <w:basedOn w:val="Normal"/>
    <w:uiPriority w:val="99"/>
    <w:rsid w:val="002C7FBA"/>
    <w:pPr>
      <w:spacing w:after="160" w:line="280" w:lineRule="atLeast"/>
      <w:ind w:left="440"/>
      <w:jc w:val="both"/>
    </w:pPr>
    <w:rPr>
      <w:rFonts w:ascii="Times" w:eastAsia="Times New Roman" w:hAnsi="Times" w:cs="Times"/>
      <w:sz w:val="24"/>
      <w:szCs w:val="24"/>
    </w:rPr>
  </w:style>
  <w:style w:type="paragraph" w:customStyle="1" w:styleId="CaledoniaIndenta">
    <w:name w:val="Caledonia Indent (a)"/>
    <w:basedOn w:val="Normal"/>
    <w:uiPriority w:val="99"/>
    <w:rsid w:val="002C7FBA"/>
    <w:pPr>
      <w:spacing w:after="160" w:line="280" w:lineRule="atLeast"/>
      <w:ind w:left="980"/>
      <w:jc w:val="both"/>
    </w:pPr>
    <w:rPr>
      <w:rFonts w:ascii="Times" w:eastAsia="Times New Roman"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imes New Roman" w:hAnsi="Times" w:cs="Times"/>
      <w:sz w:val="24"/>
      <w:szCs w:val="24"/>
    </w:rPr>
  </w:style>
  <w:style w:type="paragraph" w:customStyle="1" w:styleId="CaledoniaFormat8">
    <w:name w:val="Caledonia Format +8"/>
    <w:basedOn w:val="Normal"/>
    <w:uiPriority w:val="99"/>
    <w:rsid w:val="002C7FBA"/>
    <w:pPr>
      <w:spacing w:after="160" w:line="280" w:lineRule="atLeast"/>
      <w:jc w:val="both"/>
    </w:pPr>
    <w:rPr>
      <w:rFonts w:ascii="Times" w:eastAsia="Times New Roman" w:hAnsi="Times" w:cs="Times"/>
      <w:sz w:val="24"/>
      <w:szCs w:val="24"/>
    </w:rPr>
  </w:style>
  <w:style w:type="paragraph" w:customStyle="1" w:styleId="HolmdelIndent1">
    <w:name w:val="Holmdel Indent (1)"/>
    <w:basedOn w:val="Normal"/>
    <w:uiPriority w:val="99"/>
    <w:rsid w:val="00BE064F"/>
    <w:pPr>
      <w:spacing w:after="160" w:line="280" w:lineRule="atLeast"/>
      <w:ind w:left="1037" w:hanging="1037"/>
      <w:jc w:val="both"/>
    </w:pPr>
    <w:rPr>
      <w:rFonts w:ascii="Times New Roman" w:eastAsia="Times New Roman" w:hAnsi="Times New Roman"/>
      <w:sz w:val="24"/>
      <w:szCs w:val="24"/>
    </w:rPr>
  </w:style>
  <w:style w:type="paragraph" w:customStyle="1" w:styleId="HolmdelIndentA0">
    <w:name w:val="Holmdel Indent A."/>
    <w:basedOn w:val="Normal"/>
    <w:uiPriority w:val="99"/>
    <w:rsid w:val="00BE064F"/>
    <w:pPr>
      <w:spacing w:after="160" w:line="280" w:lineRule="atLeast"/>
      <w:ind w:left="475" w:hanging="475"/>
      <w:jc w:val="both"/>
    </w:pPr>
    <w:rPr>
      <w:rFonts w:ascii="Times New Roman" w:eastAsia="Times New Roman" w:hAnsi="Times New Roman"/>
      <w:sz w:val="24"/>
      <w:szCs w:val="24"/>
    </w:rPr>
  </w:style>
  <w:style w:type="paragraph" w:customStyle="1" w:styleId="CaledoniaFormat">
    <w:name w:val="Caledonia Format"/>
    <w:basedOn w:val="Normal"/>
    <w:rsid w:val="00990EC6"/>
    <w:pPr>
      <w:tabs>
        <w:tab w:val="left" w:pos="440"/>
        <w:tab w:val="left" w:pos="1440"/>
      </w:tabs>
      <w:spacing w:after="0" w:line="280" w:lineRule="atLeast"/>
      <w:jc w:val="both"/>
    </w:pPr>
    <w:rPr>
      <w:rFonts w:ascii="Times" w:eastAsia="Times New Roman"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6479">
      <w:bodyDiv w:val="1"/>
      <w:marLeft w:val="0"/>
      <w:marRight w:val="0"/>
      <w:marTop w:val="0"/>
      <w:marBottom w:val="0"/>
      <w:divBdr>
        <w:top w:val="none" w:sz="0" w:space="0" w:color="auto"/>
        <w:left w:val="none" w:sz="0" w:space="0" w:color="auto"/>
        <w:bottom w:val="none" w:sz="0" w:space="0" w:color="auto"/>
        <w:right w:val="none" w:sz="0" w:space="0" w:color="auto"/>
      </w:divBdr>
    </w:div>
    <w:div w:id="1969511663">
      <w:marLeft w:val="0"/>
      <w:marRight w:val="0"/>
      <w:marTop w:val="0"/>
      <w:marBottom w:val="0"/>
      <w:divBdr>
        <w:top w:val="none" w:sz="0" w:space="0" w:color="auto"/>
        <w:left w:val="none" w:sz="0" w:space="0" w:color="auto"/>
        <w:bottom w:val="none" w:sz="0" w:space="0" w:color="auto"/>
        <w:right w:val="none" w:sz="0" w:space="0" w:color="auto"/>
      </w:divBdr>
    </w:div>
    <w:div w:id="1969511665">
      <w:marLeft w:val="0"/>
      <w:marRight w:val="0"/>
      <w:marTop w:val="0"/>
      <w:marBottom w:val="0"/>
      <w:divBdr>
        <w:top w:val="none" w:sz="0" w:space="0" w:color="auto"/>
        <w:left w:val="none" w:sz="0" w:space="0" w:color="auto"/>
        <w:bottom w:val="none" w:sz="0" w:space="0" w:color="auto"/>
        <w:right w:val="none" w:sz="0" w:space="0" w:color="auto"/>
      </w:divBdr>
    </w:div>
    <w:div w:id="1969511666">
      <w:marLeft w:val="0"/>
      <w:marRight w:val="0"/>
      <w:marTop w:val="0"/>
      <w:marBottom w:val="0"/>
      <w:divBdr>
        <w:top w:val="none" w:sz="0" w:space="0" w:color="auto"/>
        <w:left w:val="none" w:sz="0" w:space="0" w:color="auto"/>
        <w:bottom w:val="none" w:sz="0" w:space="0" w:color="auto"/>
        <w:right w:val="none" w:sz="0" w:space="0" w:color="auto"/>
      </w:divBdr>
    </w:div>
    <w:div w:id="1969511667">
      <w:marLeft w:val="0"/>
      <w:marRight w:val="0"/>
      <w:marTop w:val="0"/>
      <w:marBottom w:val="0"/>
      <w:divBdr>
        <w:top w:val="none" w:sz="0" w:space="0" w:color="auto"/>
        <w:left w:val="none" w:sz="0" w:space="0" w:color="auto"/>
        <w:bottom w:val="none" w:sz="0" w:space="0" w:color="auto"/>
        <w:right w:val="none" w:sz="0" w:space="0" w:color="auto"/>
      </w:divBdr>
    </w:div>
    <w:div w:id="1969511668">
      <w:marLeft w:val="0"/>
      <w:marRight w:val="0"/>
      <w:marTop w:val="0"/>
      <w:marBottom w:val="0"/>
      <w:divBdr>
        <w:top w:val="none" w:sz="0" w:space="0" w:color="auto"/>
        <w:left w:val="none" w:sz="0" w:space="0" w:color="auto"/>
        <w:bottom w:val="none" w:sz="0" w:space="0" w:color="auto"/>
        <w:right w:val="none" w:sz="0" w:space="0" w:color="auto"/>
      </w:divBdr>
    </w:div>
    <w:div w:id="1969511672">
      <w:marLeft w:val="360"/>
      <w:marRight w:val="360"/>
      <w:marTop w:val="360"/>
      <w:marBottom w:val="360"/>
      <w:divBdr>
        <w:top w:val="none" w:sz="0" w:space="0" w:color="auto"/>
        <w:left w:val="none" w:sz="0" w:space="0" w:color="auto"/>
        <w:bottom w:val="none" w:sz="0" w:space="0" w:color="auto"/>
        <w:right w:val="none" w:sz="0" w:space="0" w:color="auto"/>
      </w:divBdr>
      <w:divsChild>
        <w:div w:id="1969511661">
          <w:marLeft w:val="0"/>
          <w:marRight w:val="0"/>
          <w:marTop w:val="0"/>
          <w:marBottom w:val="0"/>
          <w:divBdr>
            <w:top w:val="none" w:sz="0" w:space="0" w:color="auto"/>
            <w:left w:val="none" w:sz="0" w:space="0" w:color="auto"/>
            <w:bottom w:val="none" w:sz="0" w:space="0" w:color="auto"/>
            <w:right w:val="none" w:sz="0" w:space="0" w:color="auto"/>
          </w:divBdr>
          <w:divsChild>
            <w:div w:id="1969511660">
              <w:marLeft w:val="0"/>
              <w:marRight w:val="0"/>
              <w:marTop w:val="0"/>
              <w:marBottom w:val="0"/>
              <w:divBdr>
                <w:top w:val="none" w:sz="0" w:space="0" w:color="auto"/>
                <w:left w:val="none" w:sz="0" w:space="0" w:color="auto"/>
                <w:bottom w:val="none" w:sz="0" w:space="0" w:color="auto"/>
                <w:right w:val="none" w:sz="0" w:space="0" w:color="auto"/>
              </w:divBdr>
              <w:divsChild>
                <w:div w:id="1969511671">
                  <w:marLeft w:val="0"/>
                  <w:marRight w:val="0"/>
                  <w:marTop w:val="0"/>
                  <w:marBottom w:val="0"/>
                  <w:divBdr>
                    <w:top w:val="none" w:sz="0" w:space="0" w:color="auto"/>
                    <w:left w:val="none" w:sz="0" w:space="0" w:color="auto"/>
                    <w:bottom w:val="none" w:sz="0" w:space="0" w:color="auto"/>
                    <w:right w:val="none" w:sz="0" w:space="0" w:color="auto"/>
                  </w:divBdr>
                  <w:divsChild>
                    <w:div w:id="1969511662">
                      <w:marLeft w:val="0"/>
                      <w:marRight w:val="0"/>
                      <w:marTop w:val="0"/>
                      <w:marBottom w:val="0"/>
                      <w:divBdr>
                        <w:top w:val="none" w:sz="0" w:space="0" w:color="auto"/>
                        <w:left w:val="none" w:sz="0" w:space="0" w:color="auto"/>
                        <w:bottom w:val="none" w:sz="0" w:space="0" w:color="auto"/>
                        <w:right w:val="none" w:sz="0" w:space="0" w:color="auto"/>
                      </w:divBdr>
                      <w:divsChild>
                        <w:div w:id="1969511659">
                          <w:marLeft w:val="0"/>
                          <w:marRight w:val="0"/>
                          <w:marTop w:val="0"/>
                          <w:marBottom w:val="0"/>
                          <w:divBdr>
                            <w:top w:val="none" w:sz="0" w:space="0" w:color="auto"/>
                            <w:left w:val="none" w:sz="0" w:space="0" w:color="auto"/>
                            <w:bottom w:val="none" w:sz="0" w:space="0" w:color="auto"/>
                            <w:right w:val="none" w:sz="0" w:space="0" w:color="auto"/>
                          </w:divBdr>
                          <w:divsChild>
                            <w:div w:id="1969511657">
                              <w:marLeft w:val="0"/>
                              <w:marRight w:val="0"/>
                              <w:marTop w:val="240"/>
                              <w:marBottom w:val="0"/>
                              <w:divBdr>
                                <w:top w:val="none" w:sz="0" w:space="0" w:color="auto"/>
                                <w:left w:val="none" w:sz="0" w:space="0" w:color="auto"/>
                                <w:bottom w:val="none" w:sz="0" w:space="0" w:color="auto"/>
                                <w:right w:val="none" w:sz="0" w:space="0" w:color="auto"/>
                              </w:divBdr>
                              <w:divsChild>
                                <w:div w:id="1969511658">
                                  <w:marLeft w:val="480"/>
                                  <w:marRight w:val="0"/>
                                  <w:marTop w:val="240"/>
                                  <w:marBottom w:val="0"/>
                                  <w:divBdr>
                                    <w:top w:val="none" w:sz="0" w:space="0" w:color="auto"/>
                                    <w:left w:val="none" w:sz="0" w:space="0" w:color="auto"/>
                                    <w:bottom w:val="none" w:sz="0" w:space="0" w:color="auto"/>
                                    <w:right w:val="none" w:sz="0" w:space="0" w:color="auto"/>
                                  </w:divBdr>
                                </w:div>
                                <w:div w:id="1969511664">
                                  <w:marLeft w:val="240"/>
                                  <w:marRight w:val="0"/>
                                  <w:marTop w:val="240"/>
                                  <w:marBottom w:val="0"/>
                                  <w:divBdr>
                                    <w:top w:val="none" w:sz="0" w:space="0" w:color="auto"/>
                                    <w:left w:val="none" w:sz="0" w:space="0" w:color="auto"/>
                                    <w:bottom w:val="none" w:sz="0" w:space="0" w:color="auto"/>
                                    <w:right w:val="none" w:sz="0" w:space="0" w:color="auto"/>
                                  </w:divBdr>
                                </w:div>
                                <w:div w:id="1969511669">
                                  <w:marLeft w:val="480"/>
                                  <w:marRight w:val="0"/>
                                  <w:marTop w:val="240"/>
                                  <w:marBottom w:val="0"/>
                                  <w:divBdr>
                                    <w:top w:val="none" w:sz="0" w:space="0" w:color="auto"/>
                                    <w:left w:val="none" w:sz="0" w:space="0" w:color="auto"/>
                                    <w:bottom w:val="none" w:sz="0" w:space="0" w:color="auto"/>
                                    <w:right w:val="none" w:sz="0" w:space="0" w:color="auto"/>
                                  </w:divBdr>
                                </w:div>
                                <w:div w:id="1969511670">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511673">
      <w:marLeft w:val="0"/>
      <w:marRight w:val="0"/>
      <w:marTop w:val="0"/>
      <w:marBottom w:val="0"/>
      <w:divBdr>
        <w:top w:val="none" w:sz="0" w:space="0" w:color="auto"/>
        <w:left w:val="none" w:sz="0" w:space="0" w:color="auto"/>
        <w:bottom w:val="none" w:sz="0" w:space="0" w:color="auto"/>
        <w:right w:val="none" w:sz="0" w:space="0" w:color="auto"/>
      </w:divBdr>
    </w:div>
    <w:div w:id="1969511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ORDINANCE 5-2016</vt:lpstr>
    </vt:vector>
  </TitlesOfParts>
  <Company>Microsoft</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5-2016</dc:title>
  <dc:creator>Tracy</dc:creator>
  <cp:lastModifiedBy>Jane McCarthy</cp:lastModifiedBy>
  <cp:revision>2</cp:revision>
  <cp:lastPrinted>2016-05-06T13:38:00Z</cp:lastPrinted>
  <dcterms:created xsi:type="dcterms:W3CDTF">2016-05-06T13:38:00Z</dcterms:created>
  <dcterms:modified xsi:type="dcterms:W3CDTF">2016-05-06T13:38:00Z</dcterms:modified>
</cp:coreProperties>
</file>