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1" w:rsidRPr="006A5590" w:rsidRDefault="000E5051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</w:t>
      </w:r>
      <w:r w:rsidR="00E65A7E">
        <w:rPr>
          <w:b/>
          <w:sz w:val="24"/>
          <w:szCs w:val="24"/>
        </w:rPr>
        <w:t>20-1.86</w:t>
      </w:r>
    </w:p>
    <w:p w:rsidR="000E5051" w:rsidRPr="006A5590" w:rsidRDefault="000E5051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  <w:r w:rsidR="009B5ABB">
        <w:rPr>
          <w:b/>
          <w:sz w:val="24"/>
          <w:szCs w:val="24"/>
        </w:rPr>
        <w:t xml:space="preserve"> OF</w:t>
      </w:r>
    </w:p>
    <w:p w:rsidR="000E5051" w:rsidRPr="006A5590" w:rsidRDefault="000E5051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THE BOROUGH OF BLOOMINGDALE</w:t>
      </w: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Default="000E5051" w:rsidP="00244D3F">
      <w:pPr>
        <w:jc w:val="center"/>
        <w:rPr>
          <w:b/>
          <w:i/>
          <w:sz w:val="24"/>
          <w:szCs w:val="24"/>
        </w:rPr>
      </w:pPr>
    </w:p>
    <w:p w:rsidR="000E5051" w:rsidRPr="006A5590" w:rsidRDefault="000E5051" w:rsidP="00301ADC">
      <w:pPr>
        <w:jc w:val="both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</w:t>
      </w:r>
      <w:r>
        <w:rPr>
          <w:b/>
          <w:i/>
          <w:sz w:val="24"/>
          <w:szCs w:val="24"/>
        </w:rPr>
        <w:t xml:space="preserve">a Non-Fair and Open </w:t>
      </w:r>
      <w:r w:rsidRPr="006A5590">
        <w:rPr>
          <w:b/>
          <w:i/>
          <w:sz w:val="24"/>
          <w:szCs w:val="24"/>
        </w:rPr>
        <w:t xml:space="preserve"> Service Contract to Billy Doty and Pompton lakes Municipal Utility Authority for Analytical Testing for the Borough’s Public Water System</w:t>
      </w:r>
    </w:p>
    <w:p w:rsidR="000E5051" w:rsidRPr="006A5590" w:rsidRDefault="000E5051" w:rsidP="00244D3F">
      <w:pPr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the Borough of Bloomingdale has</w:t>
      </w:r>
      <w:bookmarkStart w:id="0" w:name="_GoBack"/>
      <w:bookmarkEnd w:id="0"/>
      <w:r w:rsidRPr="006A5590">
        <w:rPr>
          <w:sz w:val="24"/>
          <w:szCs w:val="24"/>
        </w:rPr>
        <w:t xml:space="preserve"> a need to appoint an Analytical Testing for the Borough’s Water System as a non-fair and open contract pursuant to the provisions of N.J.S.A. 19:44A-20.4 or Section 2.13.1 of the Borough Code as appropriate;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</w:t>
      </w:r>
      <w:r>
        <w:rPr>
          <w:sz w:val="24"/>
          <w:szCs w:val="24"/>
        </w:rPr>
        <w:t>rd of contracts for</w:t>
      </w:r>
      <w:r w:rsidRPr="006A5590">
        <w:rPr>
          <w:sz w:val="24"/>
          <w:szCs w:val="24"/>
        </w:rPr>
        <w:t xml:space="preserve"> Services without competitive bids and the contract itself must be awarded for public inspection;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</w:t>
      </w:r>
      <w:r w:rsidR="009B5ABB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20</w:t>
      </w:r>
      <w:r w:rsidR="009B5ABB">
        <w:rPr>
          <w:sz w:val="24"/>
          <w:szCs w:val="24"/>
        </w:rPr>
        <w:t>20</w:t>
      </w:r>
      <w:r w:rsidRPr="006A5590">
        <w:rPr>
          <w:sz w:val="24"/>
          <w:szCs w:val="24"/>
        </w:rPr>
        <w:t>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Billy Doty and Pompton lakes Municipal Utility Authority will provide those services as sought by the Borough of Bloomingdale </w:t>
      </w:r>
      <w:r>
        <w:rPr>
          <w:sz w:val="24"/>
          <w:szCs w:val="24"/>
        </w:rPr>
        <w:t>as per his proposal, received</w:t>
      </w:r>
      <w:r w:rsidR="009B5ABB">
        <w:rPr>
          <w:sz w:val="24"/>
          <w:szCs w:val="24"/>
        </w:rPr>
        <w:t xml:space="preserve"> on December 6, 2019</w:t>
      </w:r>
      <w:r>
        <w:rPr>
          <w:sz w:val="24"/>
          <w:szCs w:val="24"/>
        </w:rPr>
        <w:t>, on file in the Municipal Clerk’s Office;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 xml:space="preserve">y the Governing Body in the </w:t>
      </w:r>
      <w:r w:rsidR="009B5ABB">
        <w:rPr>
          <w:sz w:val="24"/>
          <w:szCs w:val="24"/>
        </w:rPr>
        <w:t>2020</w:t>
      </w:r>
      <w:r w:rsidRPr="006A5590">
        <w:rPr>
          <w:sz w:val="24"/>
          <w:szCs w:val="24"/>
        </w:rPr>
        <w:t xml:space="preserve"> budget;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</w:t>
      </w:r>
      <w:r w:rsidR="007819CF">
        <w:rPr>
          <w:sz w:val="24"/>
          <w:szCs w:val="24"/>
        </w:rPr>
        <w:t>M</w:t>
      </w:r>
      <w:r w:rsidRPr="006A5590">
        <w:rPr>
          <w:sz w:val="24"/>
          <w:szCs w:val="24"/>
        </w:rPr>
        <w:t xml:space="preserve">ayor and </w:t>
      </w:r>
      <w:r w:rsidR="007819CF">
        <w:rPr>
          <w:sz w:val="24"/>
          <w:szCs w:val="24"/>
        </w:rPr>
        <w:t>C</w:t>
      </w:r>
      <w:r w:rsidRPr="006A5590">
        <w:rPr>
          <w:sz w:val="24"/>
          <w:szCs w:val="24"/>
        </w:rPr>
        <w:t xml:space="preserve">ouncil of the Borough of Bloomingdale, County of Passaic, State of </w:t>
      </w:r>
      <w:r w:rsidR="007819CF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authorizes the Mayor and Municipal Clerk to enter into a contract with Billy Doty and Pompton Lakes Municipal Utility Authority as described herein to the satisfaction of the Mayor and Council; and</w:t>
      </w:r>
    </w:p>
    <w:p w:rsidR="000E5051" w:rsidRPr="006A5590" w:rsidRDefault="009B5ABB" w:rsidP="009B5A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5051" w:rsidRPr="006A5590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0E5051" w:rsidRPr="006A5590" w:rsidRDefault="000E5051" w:rsidP="009B5ABB">
      <w:pPr>
        <w:jc w:val="both"/>
        <w:rPr>
          <w:sz w:val="24"/>
          <w:szCs w:val="24"/>
        </w:rPr>
      </w:pPr>
    </w:p>
    <w:p w:rsidR="000E5051" w:rsidRDefault="000E5051" w:rsidP="009B5ABB">
      <w:pPr>
        <w:ind w:firstLine="720"/>
        <w:jc w:val="both"/>
        <w:rPr>
          <w:sz w:val="24"/>
          <w:szCs w:val="24"/>
        </w:rPr>
      </w:pPr>
      <w:r w:rsidRPr="00337DD6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754F7" w:rsidRDefault="00F754F7" w:rsidP="00244D3F">
      <w:pPr>
        <w:rPr>
          <w:sz w:val="24"/>
          <w:szCs w:val="24"/>
        </w:rPr>
      </w:pPr>
    </w:p>
    <w:p w:rsidR="00F754F7" w:rsidRPr="00F754F7" w:rsidRDefault="00F754F7" w:rsidP="00F754F7">
      <w:pPr>
        <w:rPr>
          <w:b/>
          <w:sz w:val="24"/>
          <w:szCs w:val="22"/>
          <w:u w:val="single"/>
        </w:rPr>
      </w:pPr>
      <w:r w:rsidRPr="00F754F7">
        <w:rPr>
          <w:b/>
          <w:sz w:val="24"/>
          <w:szCs w:val="22"/>
          <w:u w:val="single"/>
        </w:rPr>
        <w:t>Certification of Funds:</w:t>
      </w:r>
    </w:p>
    <w:p w:rsidR="00F754F7" w:rsidRPr="00F754F7" w:rsidRDefault="00F754F7" w:rsidP="00F754F7">
      <w:pPr>
        <w:rPr>
          <w:sz w:val="24"/>
          <w:szCs w:val="22"/>
        </w:rPr>
      </w:pPr>
      <w:r w:rsidRPr="00F754F7">
        <w:rPr>
          <w:sz w:val="24"/>
          <w:szCs w:val="22"/>
        </w:rPr>
        <w:t xml:space="preserve">Pending Budget adoption, I certify the availability of funds, in an amount not to exceed </w:t>
      </w:r>
      <w:r w:rsidRPr="00F754F7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1</w:t>
      </w:r>
      <w:r w:rsidRPr="00F754F7">
        <w:rPr>
          <w:b/>
          <w:sz w:val="24"/>
          <w:szCs w:val="22"/>
        </w:rPr>
        <w:t xml:space="preserve">0,000 </w:t>
      </w:r>
      <w:r w:rsidRPr="00F754F7">
        <w:rPr>
          <w:sz w:val="24"/>
          <w:szCs w:val="22"/>
        </w:rPr>
        <w:t>from</w:t>
      </w:r>
      <w:r w:rsidRPr="00F754F7">
        <w:rPr>
          <w:b/>
          <w:sz w:val="24"/>
          <w:szCs w:val="22"/>
        </w:rPr>
        <w:t xml:space="preserve"> </w:t>
      </w:r>
      <w:r w:rsidR="00AF2405">
        <w:rPr>
          <w:b/>
          <w:sz w:val="24"/>
          <w:szCs w:val="22"/>
        </w:rPr>
        <w:t>0</w:t>
      </w:r>
      <w:r w:rsidRPr="00F754F7">
        <w:rPr>
          <w:b/>
          <w:sz w:val="24"/>
          <w:szCs w:val="22"/>
        </w:rPr>
        <w:t>-01-</w:t>
      </w:r>
      <w:r>
        <w:rPr>
          <w:b/>
          <w:sz w:val="24"/>
          <w:szCs w:val="22"/>
        </w:rPr>
        <w:t>55-501</w:t>
      </w:r>
      <w:r w:rsidRPr="00F754F7">
        <w:rPr>
          <w:b/>
          <w:sz w:val="24"/>
          <w:szCs w:val="22"/>
        </w:rPr>
        <w:t>-001-</w:t>
      </w:r>
      <w:r>
        <w:rPr>
          <w:b/>
          <w:sz w:val="24"/>
          <w:szCs w:val="22"/>
        </w:rPr>
        <w:t>237</w:t>
      </w:r>
      <w:r w:rsidRPr="00F754F7">
        <w:rPr>
          <w:b/>
          <w:sz w:val="24"/>
          <w:szCs w:val="22"/>
        </w:rPr>
        <w:t>.</w:t>
      </w:r>
    </w:p>
    <w:p w:rsidR="00F754F7" w:rsidRPr="00F754F7" w:rsidRDefault="00F754F7" w:rsidP="00F754F7">
      <w:pPr>
        <w:rPr>
          <w:sz w:val="24"/>
          <w:szCs w:val="22"/>
        </w:rPr>
      </w:pPr>
    </w:p>
    <w:p w:rsidR="00F754F7" w:rsidRPr="006A5590" w:rsidRDefault="00F754F7" w:rsidP="00F754F7">
      <w:pPr>
        <w:rPr>
          <w:sz w:val="24"/>
          <w:szCs w:val="24"/>
        </w:rPr>
      </w:pPr>
      <w:r w:rsidRPr="00F754F7">
        <w:rPr>
          <w:sz w:val="24"/>
          <w:szCs w:val="22"/>
        </w:rPr>
        <w:t>__________________________</w:t>
      </w:r>
      <w:r w:rsidRPr="00F754F7">
        <w:rPr>
          <w:sz w:val="24"/>
          <w:szCs w:val="22"/>
        </w:rPr>
        <w:br/>
        <w:t>Donna M. Mollineaux, CFO</w:t>
      </w:r>
    </w:p>
    <w:p w:rsidR="000E5051" w:rsidRDefault="000E5051" w:rsidP="00F852A5">
      <w:pPr>
        <w:rPr>
          <w:rFonts w:ascii="Arial" w:hAnsi="Arial" w:cs="Arial"/>
          <w:szCs w:val="22"/>
        </w:rPr>
      </w:pPr>
    </w:p>
    <w:p w:rsidR="000E5051" w:rsidRDefault="000E5051" w:rsidP="009B5238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:rsidR="009B5ABB" w:rsidRDefault="009B5ABB" w:rsidP="009B5ABB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:rsidR="00541C61" w:rsidRPr="0018588B" w:rsidRDefault="00541C61" w:rsidP="00541C61">
      <w:pPr>
        <w:rPr>
          <w:sz w:val="24"/>
          <w:szCs w:val="24"/>
        </w:rPr>
      </w:pPr>
    </w:p>
    <w:p w:rsidR="00541C61" w:rsidRPr="0018588B" w:rsidRDefault="00541C61" w:rsidP="00541C61">
      <w:pPr>
        <w:keepNext/>
        <w:jc w:val="center"/>
        <w:outlineLvl w:val="1"/>
        <w:rPr>
          <w:b/>
          <w:i/>
        </w:rPr>
      </w:pPr>
      <w:r w:rsidRPr="0018588B">
        <w:rPr>
          <w:b/>
          <w:i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41C61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Absent</w:t>
            </w:r>
          </w:p>
        </w:tc>
      </w:tr>
      <w:tr w:rsidR="00541C61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</w:tr>
      <w:tr w:rsidR="00541C61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</w:tr>
      <w:tr w:rsidR="00541C61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61" w:rsidRPr="0018588B" w:rsidRDefault="00541C61" w:rsidP="00AD7F4D">
            <w:pPr>
              <w:rPr>
                <w:sz w:val="18"/>
                <w:szCs w:val="18"/>
              </w:rPr>
            </w:pPr>
          </w:p>
        </w:tc>
      </w:tr>
    </w:tbl>
    <w:p w:rsidR="00541C61" w:rsidRPr="0018588B" w:rsidRDefault="00541C61" w:rsidP="00541C61">
      <w:pPr>
        <w:rPr>
          <w:sz w:val="18"/>
          <w:szCs w:val="18"/>
        </w:rPr>
      </w:pPr>
    </w:p>
    <w:p w:rsidR="00541C61" w:rsidRPr="0018588B" w:rsidRDefault="00541C61" w:rsidP="00541C61">
      <w:pPr>
        <w:rPr>
          <w:sz w:val="18"/>
          <w:szCs w:val="18"/>
        </w:rPr>
      </w:pPr>
      <w:r w:rsidRPr="0018588B">
        <w:rPr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541C61" w:rsidRDefault="00541C61" w:rsidP="00541C61">
      <w:pPr>
        <w:rPr>
          <w:sz w:val="18"/>
          <w:szCs w:val="18"/>
        </w:rPr>
      </w:pPr>
    </w:p>
    <w:p w:rsidR="00541C61" w:rsidRPr="0018588B" w:rsidRDefault="00541C61" w:rsidP="00541C61">
      <w:pPr>
        <w:rPr>
          <w:sz w:val="18"/>
          <w:szCs w:val="18"/>
        </w:rPr>
      </w:pPr>
    </w:p>
    <w:p w:rsidR="00541C61" w:rsidRPr="0018588B" w:rsidRDefault="00541C61" w:rsidP="00541C61">
      <w:pPr>
        <w:rPr>
          <w:sz w:val="18"/>
          <w:szCs w:val="18"/>
        </w:rPr>
      </w:pPr>
      <w:r w:rsidRPr="0018588B">
        <w:rPr>
          <w:sz w:val="18"/>
          <w:szCs w:val="18"/>
        </w:rPr>
        <w:t>___________________________________</w:t>
      </w:r>
    </w:p>
    <w:p w:rsidR="00541C61" w:rsidRPr="0018588B" w:rsidRDefault="00541C61" w:rsidP="00541C61">
      <w:pPr>
        <w:rPr>
          <w:sz w:val="18"/>
          <w:szCs w:val="18"/>
        </w:rPr>
      </w:pPr>
      <w:r w:rsidRPr="0018588B">
        <w:rPr>
          <w:sz w:val="18"/>
          <w:szCs w:val="18"/>
        </w:rPr>
        <w:t>Breeanna Calabro, R.M.C.</w:t>
      </w:r>
    </w:p>
    <w:p w:rsidR="00541C61" w:rsidRPr="0018588B" w:rsidRDefault="00541C61" w:rsidP="00541C61">
      <w:pPr>
        <w:rPr>
          <w:sz w:val="18"/>
          <w:szCs w:val="18"/>
        </w:rPr>
      </w:pPr>
      <w:r w:rsidRPr="0018588B">
        <w:rPr>
          <w:sz w:val="18"/>
          <w:szCs w:val="18"/>
        </w:rPr>
        <w:t>Municipal Clerk, Borough of Bloomingdale</w:t>
      </w:r>
    </w:p>
    <w:p w:rsidR="00541C61" w:rsidRPr="0018588B" w:rsidRDefault="00541C61" w:rsidP="00541C61">
      <w:pPr>
        <w:rPr>
          <w:sz w:val="24"/>
          <w:szCs w:val="24"/>
        </w:rPr>
      </w:pPr>
    </w:p>
    <w:p w:rsidR="009B5ABB" w:rsidRDefault="009B5ABB" w:rsidP="00541C61">
      <w:pPr>
        <w:pStyle w:val="Heading2"/>
        <w:rPr>
          <w:snapToGrid w:val="0"/>
          <w:szCs w:val="24"/>
        </w:rPr>
      </w:pPr>
    </w:p>
    <w:sectPr w:rsidR="009B5ABB" w:rsidSect="00F754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F7" w:rsidRDefault="00F754F7" w:rsidP="00F754F7">
      <w:r>
        <w:separator/>
      </w:r>
    </w:p>
  </w:endnote>
  <w:endnote w:type="continuationSeparator" w:id="0">
    <w:p w:rsidR="00F754F7" w:rsidRDefault="00F754F7" w:rsidP="00F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4F7" w:rsidRDefault="00F754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A7E">
      <w:rPr>
        <w:noProof/>
      </w:rPr>
      <w:t>1</w:t>
    </w:r>
    <w:r>
      <w:rPr>
        <w:noProof/>
      </w:rPr>
      <w:fldChar w:fldCharType="end"/>
    </w:r>
  </w:p>
  <w:p w:rsidR="00F754F7" w:rsidRDefault="00F7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F7" w:rsidRDefault="00F754F7" w:rsidP="00F754F7">
      <w:r>
        <w:separator/>
      </w:r>
    </w:p>
  </w:footnote>
  <w:footnote w:type="continuationSeparator" w:id="0">
    <w:p w:rsidR="00F754F7" w:rsidRDefault="00F754F7" w:rsidP="00F7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083C9D"/>
    <w:rsid w:val="000E5051"/>
    <w:rsid w:val="00163A93"/>
    <w:rsid w:val="00164D14"/>
    <w:rsid w:val="00190D14"/>
    <w:rsid w:val="001F32DA"/>
    <w:rsid w:val="00240B6A"/>
    <w:rsid w:val="00244D3F"/>
    <w:rsid w:val="00270868"/>
    <w:rsid w:val="002A6947"/>
    <w:rsid w:val="00301ADC"/>
    <w:rsid w:val="00337DD6"/>
    <w:rsid w:val="003B4764"/>
    <w:rsid w:val="003B7021"/>
    <w:rsid w:val="00462794"/>
    <w:rsid w:val="00541C61"/>
    <w:rsid w:val="00550955"/>
    <w:rsid w:val="00617786"/>
    <w:rsid w:val="006275DB"/>
    <w:rsid w:val="00697F7E"/>
    <w:rsid w:val="006A5590"/>
    <w:rsid w:val="006C70B2"/>
    <w:rsid w:val="00774CCB"/>
    <w:rsid w:val="007819CF"/>
    <w:rsid w:val="007B2CC9"/>
    <w:rsid w:val="008231D8"/>
    <w:rsid w:val="00956B46"/>
    <w:rsid w:val="009B5238"/>
    <w:rsid w:val="009B5ABB"/>
    <w:rsid w:val="00A03769"/>
    <w:rsid w:val="00A159EA"/>
    <w:rsid w:val="00A71F85"/>
    <w:rsid w:val="00AB5FFE"/>
    <w:rsid w:val="00AE5E31"/>
    <w:rsid w:val="00AF2405"/>
    <w:rsid w:val="00C05692"/>
    <w:rsid w:val="00C34113"/>
    <w:rsid w:val="00CE2085"/>
    <w:rsid w:val="00D45DC7"/>
    <w:rsid w:val="00D63D18"/>
    <w:rsid w:val="00DC117C"/>
    <w:rsid w:val="00E10299"/>
    <w:rsid w:val="00E4117B"/>
    <w:rsid w:val="00E65A7E"/>
    <w:rsid w:val="00E7228C"/>
    <w:rsid w:val="00E97AF7"/>
    <w:rsid w:val="00F754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255B74-2E62-4759-97A4-E13867C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B5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4F7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5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4F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DOTY</dc:title>
  <dc:subject/>
  <dc:creator>Breeanna Calabro</dc:creator>
  <cp:keywords/>
  <dc:description/>
  <cp:lastModifiedBy>Breeanna Calabro</cp:lastModifiedBy>
  <cp:revision>7</cp:revision>
  <cp:lastPrinted>2018-01-15T18:11:00Z</cp:lastPrinted>
  <dcterms:created xsi:type="dcterms:W3CDTF">2019-12-19T20:26:00Z</dcterms:created>
  <dcterms:modified xsi:type="dcterms:W3CDTF">2020-01-09T14:44:00Z</dcterms:modified>
</cp:coreProperties>
</file>